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745" w:type="dxa"/>
        <w:tblCellSpacing w:w="15" w:type="dxa"/>
        <w:tblCellMar>
          <w:top w:w="15" w:type="dxa"/>
          <w:left w:w="15" w:type="dxa"/>
          <w:bottom w:w="15" w:type="dxa"/>
          <w:right w:w="15" w:type="dxa"/>
        </w:tblCellMar>
        <w:tblLook w:val="04A0" w:firstRow="1" w:lastRow="0" w:firstColumn="1" w:lastColumn="0" w:noHBand="0" w:noVBand="1"/>
      </w:tblPr>
      <w:tblGrid>
        <w:gridCol w:w="7745"/>
      </w:tblGrid>
      <w:tr w:rsidR="00A57F61" w:rsidRPr="00A57F61" w:rsidTr="00A57F61">
        <w:trPr>
          <w:tblCellSpacing w:w="15" w:type="dxa"/>
        </w:trPr>
        <w:tc>
          <w:tcPr>
            <w:tcW w:w="7685" w:type="dxa"/>
            <w:tcBorders>
              <w:top w:val="nil"/>
              <w:left w:val="nil"/>
              <w:bottom w:val="single" w:sz="6" w:space="0" w:color="C0C0C0"/>
              <w:right w:val="nil"/>
            </w:tcBorders>
            <w:tcMar>
              <w:top w:w="15" w:type="dxa"/>
              <w:left w:w="60" w:type="dxa"/>
              <w:bottom w:w="15" w:type="dxa"/>
              <w:right w:w="60" w:type="dxa"/>
            </w:tcMar>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b/>
                <w:bCs/>
                <w:color w:val="333333"/>
                <w:sz w:val="20"/>
                <w:szCs w:val="20"/>
                <w:rFonts w:ascii="Verdana" w:hAnsi="Verdana"/>
              </w:rPr>
              <w:t xml:space="preserve">Ctitorii, fonduri şi fundaţii</w:t>
            </w:r>
          </w:p>
        </w:tc>
      </w:tr>
      <w:tr w:rsidR="00A57F61" w:rsidRPr="00A57F61" w:rsidTr="00A57F61">
        <w:trPr>
          <w:tblCellSpacing w:w="15" w:type="dxa"/>
        </w:trPr>
        <w:tc>
          <w:tcPr>
            <w:tcW w:w="7685" w:type="dxa"/>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 </w:t>
            </w:r>
          </w:p>
        </w:tc>
      </w:tr>
      <w:tr w:rsidR="00A57F61" w:rsidRPr="00A57F61" w:rsidTr="00A57F61">
        <w:trPr>
          <w:tblCellSpacing w:w="15" w:type="dxa"/>
        </w:trPr>
        <w:tc>
          <w:tcPr>
            <w:tcW w:w="7685" w:type="dxa"/>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b/>
                <w:bCs/>
                <w:color w:val="333333"/>
                <w:sz w:val="20"/>
                <w:szCs w:val="20"/>
                <w:rFonts w:ascii="Verdana" w:hAnsi="Verdana"/>
              </w:rPr>
              <w:t xml:space="preserve">Temeiul juridic</w:t>
            </w:r>
          </w:p>
          <w:p w:rsidR="008C2E49" w:rsidRDefault="00A57F61" w:rsidP="008C2E49">
            <w:pPr>
              <w:spacing w:after="0" w:line="240" w:lineRule="auto"/>
              <w:jc w:val="both"/>
            </w:pPr>
            <w:r>
              <w:rPr>
                <w:color w:val="333333"/>
                <w:sz w:val="20"/>
                <w:szCs w:val="20"/>
                <w:rFonts w:ascii="Verdana" w:hAnsi="Verdana"/>
              </w:rPr>
              <w:br/>
            </w:r>
            <w:r>
              <w:rPr>
                <w:color w:val="333333"/>
                <w:sz w:val="20"/>
                <w:szCs w:val="20"/>
                <w:rFonts w:ascii="Verdana" w:hAnsi="Verdana"/>
              </w:rPr>
              <w:t xml:space="preserve">În baza art.</w:t>
            </w:r>
            <w:r>
              <w:rPr>
                <w:color w:val="333333"/>
                <w:sz w:val="20"/>
                <w:szCs w:val="20"/>
                <w:rFonts w:ascii="Verdana" w:hAnsi="Verdana"/>
              </w:rPr>
              <w:t xml:space="preserve"> </w:t>
            </w:r>
            <w:r>
              <w:rPr>
                <w:color w:val="333333"/>
                <w:sz w:val="20"/>
                <w:szCs w:val="20"/>
                <w:rFonts w:ascii="Verdana" w:hAnsi="Verdana"/>
              </w:rPr>
              <w:t xml:space="preserve">21, alineatul 2, articolul</w:t>
            </w:r>
            <w:r>
              <w:rPr>
                <w:color w:val="333333"/>
                <w:sz w:val="20"/>
                <w:szCs w:val="20"/>
                <w:rFonts w:ascii="Verdana" w:hAnsi="Verdana"/>
              </w:rPr>
              <w:t xml:space="preserve"> </w:t>
            </w:r>
            <w:r>
              <w:rPr>
                <w:color w:val="333333"/>
                <w:sz w:val="20"/>
                <w:szCs w:val="20"/>
                <w:rFonts w:ascii="Verdana" w:hAnsi="Verdana"/>
              </w:rPr>
              <w:t xml:space="preserve">23, art.</w:t>
            </w:r>
            <w:r>
              <w:rPr>
                <w:color w:val="333333"/>
                <w:sz w:val="20"/>
                <w:szCs w:val="20"/>
                <w:rFonts w:ascii="Verdana" w:hAnsi="Verdana"/>
              </w:rPr>
              <w:t xml:space="preserve"> </w:t>
            </w:r>
            <w:r>
              <w:rPr>
                <w:color w:val="333333"/>
                <w:sz w:val="20"/>
                <w:szCs w:val="20"/>
                <w:rFonts w:ascii="Verdana" w:hAnsi="Verdana"/>
              </w:rPr>
              <w:t xml:space="preserve">36, alineatul 2 şi articolul</w:t>
            </w:r>
            <w:r>
              <w:rPr>
                <w:color w:val="333333"/>
                <w:sz w:val="20"/>
                <w:szCs w:val="20"/>
                <w:rFonts w:ascii="Verdana" w:hAnsi="Verdana"/>
              </w:rPr>
              <w:t xml:space="preserve"> </w:t>
            </w:r>
            <w:r>
              <w:rPr>
                <w:color w:val="333333"/>
                <w:sz w:val="20"/>
                <w:szCs w:val="20"/>
                <w:rFonts w:ascii="Verdana" w:hAnsi="Verdana"/>
              </w:rPr>
              <w:t xml:space="preserve">49, alineatul 5,</w:t>
            </w:r>
            <w:r>
              <w:rPr>
                <w:color w:val="333333"/>
                <w:sz w:val="20"/>
                <w:szCs w:val="20"/>
                <w:rFonts w:ascii="Verdana" w:hAnsi="Verdana"/>
              </w:rPr>
              <w:t xml:space="preserve"> </w:t>
            </w:r>
            <w:r>
              <w:rPr>
                <w:color w:val="333333"/>
                <w:sz w:val="20"/>
                <w:szCs w:val="20"/>
                <w:rFonts w:ascii="Verdana" w:hAnsi="Verdana"/>
              </w:rPr>
              <w:t xml:space="preserve">din Hotărârea Adunării Provinciei privind administraţia provincială ("Buletinul oficial al P.A.V.", numerele: 37/14, 54/14-altă hotărâre, 37/16, 29/17, 24/2019 şi 66/2020), articolelor </w:t>
            </w:r>
            <w:r>
              <w:rPr>
                <w:color w:val="333333"/>
                <w:sz w:val="20"/>
                <w:szCs w:val="20"/>
                <w:rFonts w:ascii="Verdana" w:hAnsi="Verdana"/>
              </w:rPr>
              <w:t xml:space="preserve"> </w:t>
            </w:r>
            <w:r>
              <w:rPr>
                <w:color w:val="333333"/>
                <w:sz w:val="20"/>
                <w:szCs w:val="20"/>
                <w:rFonts w:ascii="Verdana" w:hAnsi="Verdana"/>
              </w:rPr>
              <w:t xml:space="preserve">12 , 52, 68  și 71</w:t>
            </w:r>
            <w:r>
              <w:rPr>
                <w:color w:val="333333"/>
                <w:sz w:val="20"/>
                <w:szCs w:val="20"/>
                <w:rFonts w:ascii="Verdana" w:hAnsi="Verdana"/>
              </w:rPr>
              <w:t xml:space="preserve"> </w:t>
            </w:r>
            <w:r>
              <w:rPr>
                <w:color w:val="333333"/>
                <w:sz w:val="20"/>
                <w:szCs w:val="20"/>
                <w:rFonts w:ascii="Verdana" w:hAnsi="Verdana"/>
              </w:rPr>
              <w:t xml:space="preserve">din Legea privind ctitoriile şi fundaţiile („Monitorul oficial al R.S.”, nr:</w:t>
            </w:r>
            <w:r>
              <w:rPr>
                <w:color w:val="333333"/>
                <w:sz w:val="20"/>
                <w:szCs w:val="20"/>
                <w:rFonts w:ascii="Verdana" w:hAnsi="Verdana"/>
              </w:rPr>
              <w:t xml:space="preserve"> </w:t>
            </w:r>
            <w:r>
              <w:rPr>
                <w:color w:val="333333"/>
                <w:sz w:val="20"/>
                <w:szCs w:val="20"/>
                <w:rFonts w:ascii="Verdana" w:hAnsi="Verdana"/>
              </w:rPr>
              <w:t xml:space="preserve">88/2010, 99/2011 - al. lege şi 44/2018 - al. lege) și articolul 44, puctul 1) din Legea privind stabilirea competenţelor Provinciei Autonome Voivodina („Monitorul oficial al RS”, nr. 99/2009, 67/2012 - hotărârea CC și 18/20 - altă lege), Secretariatul Provincial pentru Cultură, Informare Publică și Relațiile cu Comunitățile Confesionale aprobă înființarea ctitoriilor, fundațiilor și fondurilor în teritoriul P.A. Voivodina și toate modificările care au loc în timpul activității acestora, în timp ce în baza punctului 2) din acelaşi articol, Secretariatul ține un registru al ctitoriilor, fundațiilor și fondurilor din teritoriul P.A. Voivodina.</w:t>
            </w:r>
          </w:p>
          <w:p w:rsidR="00A57F61" w:rsidRPr="00A57F61" w:rsidRDefault="00A57F61" w:rsidP="00A57F61">
            <w:pPr>
              <w:spacing w:after="0" w:line="240" w:lineRule="auto"/>
              <w:jc w:val="both"/>
              <w:rPr>
                <w:rFonts w:ascii="Times New Roman" w:eastAsia="Times New Roman" w:hAnsi="Times New Roman" w:cs="Times New Roman"/>
                <w:sz w:val="24"/>
                <w:szCs w:val="24"/>
                <w:lang w:eastAsia="sr-Latn-RS"/>
              </w:rPr>
            </w:pPr>
          </w:p>
        </w:tc>
      </w:tr>
      <w:tr w:rsidR="00A57F61" w:rsidRPr="00A57F61" w:rsidTr="00F33C5F">
        <w:trPr>
          <w:tblCellSpacing w:w="15" w:type="dxa"/>
        </w:trPr>
        <w:tc>
          <w:tcPr>
            <w:tcW w:w="7685" w:type="dxa"/>
            <w:vAlign w:val="center"/>
          </w:tcPr>
          <w:p w:rsidR="00A57F61" w:rsidRPr="00A57F61" w:rsidRDefault="00A57F61" w:rsidP="00A57F61">
            <w:pPr>
              <w:spacing w:after="0" w:line="240" w:lineRule="auto"/>
              <w:jc w:val="both"/>
              <w:rPr>
                <w:rFonts w:ascii="Times New Roman" w:eastAsia="Times New Roman" w:hAnsi="Times New Roman" w:cs="Times New Roman"/>
                <w:sz w:val="24"/>
                <w:szCs w:val="24"/>
                <w:lang w:eastAsia="sr-Latn-RS"/>
              </w:rPr>
            </w:pPr>
          </w:p>
        </w:tc>
      </w:tr>
      <w:tr w:rsidR="00A57F61" w:rsidRPr="00A57F61" w:rsidTr="00A57F61">
        <w:trPr>
          <w:tblCellSpacing w:w="15" w:type="dxa"/>
        </w:trPr>
        <w:tc>
          <w:tcPr>
            <w:tcW w:w="7685" w:type="dxa"/>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b/>
                <w:bCs/>
                <w:color w:val="333333"/>
                <w:sz w:val="20"/>
                <w:szCs w:val="20"/>
                <w:rFonts w:ascii="Verdana" w:hAnsi="Verdana"/>
              </w:rPr>
              <w:t xml:space="preserve">Unde şi cum</w:t>
            </w:r>
          </w:p>
          <w:p w:rsidR="00A57F61" w:rsidRPr="00A57F61" w:rsidRDefault="00A57F61" w:rsidP="00A57F61">
            <w:pPr>
              <w:spacing w:after="0" w:line="240" w:lineRule="auto"/>
              <w:jc w:val="both"/>
              <w:rPr>
                <w:sz w:val="24"/>
                <w:szCs w:val="24"/>
                <w:rFonts w:ascii="Times New Roman" w:eastAsia="Times New Roman" w:hAnsi="Times New Roman" w:cs="Times New Roman"/>
              </w:rPr>
            </w:pPr>
            <w:r>
              <w:rPr>
                <w:color w:val="333333"/>
                <w:sz w:val="20"/>
                <w:szCs w:val="20"/>
                <w:rFonts w:ascii="Verdana" w:hAnsi="Verdana"/>
              </w:rPr>
              <w:br/>
            </w:r>
            <w:r>
              <w:rPr>
                <w:color w:val="333333"/>
                <w:sz w:val="20"/>
                <w:szCs w:val="20"/>
                <w:rFonts w:ascii="Verdana" w:hAnsi="Verdana"/>
              </w:rPr>
              <w:t xml:space="preserve">Procedura de eliberare a certificatelor către ctitorii, fundații și fonduri este descrisă pe site-ul Secretariatului la secțiunea Ctitorii, fundații și fonduri.</w:t>
            </w:r>
          </w:p>
        </w:tc>
      </w:tr>
      <w:tr w:rsidR="00A57F61" w:rsidRPr="00A57F61" w:rsidTr="00A57F61">
        <w:trPr>
          <w:tblCellSpacing w:w="15" w:type="dxa"/>
        </w:trPr>
        <w:tc>
          <w:tcPr>
            <w:tcW w:w="7685" w:type="dxa"/>
            <w:tcBorders>
              <w:bottom w:val="nil"/>
            </w:tcBorders>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sz w:val="24"/>
                <w:szCs w:val="24"/>
                <w:rFonts w:ascii="Times New Roman" w:hAnsi="Times New Roman"/>
              </w:rPr>
              <w:t xml:space="preserve"> </w:t>
            </w:r>
          </w:p>
        </w:tc>
      </w:tr>
      <w:tr w:rsidR="00A57F61" w:rsidRPr="00A57F61" w:rsidTr="00A57F61">
        <w:trPr>
          <w:tblCellSpacing w:w="15" w:type="dxa"/>
        </w:trPr>
        <w:tc>
          <w:tcPr>
            <w:tcW w:w="7685" w:type="dxa"/>
            <w:tcBorders>
              <w:top w:val="nil"/>
            </w:tcBorders>
            <w:vAlign w:val="center"/>
            <w:hideMark/>
          </w:tcPr>
          <w:p w:rsidR="00A57F61" w:rsidRPr="00A57F61" w:rsidRDefault="00A57F61" w:rsidP="00A57F61">
            <w:pPr>
              <w:spacing w:after="0" w:line="240" w:lineRule="auto"/>
              <w:jc w:val="both"/>
              <w:rPr>
                <w:sz w:val="24"/>
                <w:szCs w:val="24"/>
                <w:rFonts w:ascii="Times New Roman" w:eastAsia="Times New Roman" w:hAnsi="Times New Roman" w:cs="Times New Roman"/>
              </w:rPr>
            </w:pPr>
            <w:r>
              <w:rPr>
                <w:color w:val="333333"/>
                <w:sz w:val="20"/>
                <w:szCs w:val="20"/>
                <w:rFonts w:ascii="Verdana" w:hAnsi="Verdana"/>
              </w:rPr>
              <w:t xml:space="preserve">Termenul de emitere a deciziei este de 7 zile de la data primirii cererii la Secretariatul Provincial pentru Cultură, Informare Publică și Relațiile cu Comunitățile Confesionale.</w:t>
            </w:r>
          </w:p>
        </w:tc>
      </w:tr>
    </w:tbl>
    <w:p w:rsidR="00A61E8B" w:rsidRDefault="00A61E8B" w:rsidP="00A57F61">
      <w:pPr>
        <w:jc w:val="both"/>
      </w:pPr>
    </w:p>
    <w:sectPr w:rsidR="00A61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D3E61"/>
    <w:multiLevelType w:val="hybridMultilevel"/>
    <w:tmpl w:val="9B4A0262"/>
    <w:lvl w:ilvl="0" w:tplc="2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61"/>
    <w:rsid w:val="000C455A"/>
    <w:rsid w:val="00222C67"/>
    <w:rsid w:val="008C2E49"/>
    <w:rsid w:val="00A57F61"/>
    <w:rsid w:val="00A61E8B"/>
    <w:rsid w:val="00A826BA"/>
    <w:rsid w:val="00F33C5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D1355-077A-4BF4-AB09-AF784AB3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F61"/>
    <w:pPr>
      <w:spacing w:before="100" w:beforeAutospacing="1" w:after="100" w:afterAutospacing="1" w:line="240" w:lineRule="auto"/>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 Traparic</dc:creator>
  <cp:lastModifiedBy>Daliborka Taskovic</cp:lastModifiedBy>
  <cp:revision>2</cp:revision>
  <dcterms:created xsi:type="dcterms:W3CDTF">2022-04-04T11:23:00Z</dcterms:created>
  <dcterms:modified xsi:type="dcterms:W3CDTF">2022-04-04T11:23:00Z</dcterms:modified>
</cp:coreProperties>
</file>